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right"/>
      </w:pPr>
      <w:r>
        <w:rPr>
          <w:sz w:val="20"/>
          <w:szCs w:val="20"/>
        </w:rPr>
        <w:t>zał. Nr 1</w:t>
      </w:r>
    </w:p>
    <w:p>
      <w:pPr>
        <w:pStyle w:val="style0"/>
        <w:jc w:val="right"/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>do Programu współpracy</w:t>
      </w:r>
    </w:p>
    <w:p>
      <w:pPr>
        <w:pStyle w:val="style0"/>
        <w:jc w:val="right"/>
      </w:pPr>
      <w:r>
        <w:rPr>
          <w:sz w:val="20"/>
          <w:szCs w:val="20"/>
        </w:rPr>
        <w:t>przyjętego uchwałą Nr XI/</w:t>
      </w:r>
      <w:bookmarkStart w:id="0" w:name="_GoBack"/>
      <w:bookmarkEnd w:id="0"/>
      <w:r>
        <w:rPr>
          <w:sz w:val="20"/>
          <w:szCs w:val="20"/>
        </w:rPr>
        <w:t xml:space="preserve">96/15 </w:t>
      </w:r>
    </w:p>
    <w:p>
      <w:pPr>
        <w:pStyle w:val="style0"/>
        <w:jc w:val="right"/>
      </w:pPr>
      <w:r>
        <w:rPr>
          <w:sz w:val="20"/>
          <w:szCs w:val="20"/>
        </w:rPr>
        <w:t>Rady Miejskiej w Tucholi</w:t>
      </w:r>
    </w:p>
    <w:p>
      <w:pPr>
        <w:pStyle w:val="style0"/>
        <w:jc w:val="right"/>
      </w:pPr>
      <w:r>
        <w:rPr>
          <w:sz w:val="20"/>
          <w:szCs w:val="20"/>
        </w:rPr>
        <w:t>z dnia 23.10.2015 r</w:t>
      </w:r>
      <w:r>
        <w:rPr/>
        <w:t>.</w:t>
      </w:r>
    </w:p>
    <w:p>
      <w:pPr>
        <w:pStyle w:val="style0"/>
        <w:jc w:val="right"/>
      </w:pPr>
      <w:r>
        <w:rPr/>
      </w:r>
    </w:p>
    <w:p>
      <w:pPr>
        <w:pStyle w:val="style0"/>
        <w:jc w:val="right"/>
      </w:pPr>
      <w:r>
        <w:rPr/>
      </w:r>
    </w:p>
    <w:p>
      <w:pPr>
        <w:pStyle w:val="style0"/>
        <w:jc w:val="center"/>
      </w:pPr>
      <w:r>
        <w:rPr>
          <w:u w:val="single"/>
        </w:rPr>
        <w:t>Regulamin pracy Komisji konkursowej</w:t>
      </w:r>
    </w:p>
    <w:p>
      <w:pPr>
        <w:pStyle w:val="style0"/>
        <w:jc w:val="center"/>
      </w:pPr>
      <w:r>
        <w:rPr/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Oferty konkursowe będą rozpatrywane przez pięcioosobową Komisję powołaną  zarządzeniem Burmistrza, w składzie:</w:t>
      </w:r>
    </w:p>
    <w:p>
      <w:pPr>
        <w:pStyle w:val="style28"/>
        <w:ind w:hanging="0" w:left="528" w:right="0"/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-   3 przedstawicieli Burmistrza,</w:t>
      </w:r>
    </w:p>
    <w:p>
      <w:pPr>
        <w:pStyle w:val="style28"/>
        <w:ind w:hanging="0" w:left="528" w:right="0"/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-   2 przedstawicieli organizacji pozarządowych.</w:t>
      </w:r>
    </w:p>
    <w:p>
      <w:pPr>
        <w:pStyle w:val="style28"/>
        <w:ind w:hanging="181" w:left="709" w:right="0"/>
      </w:pPr>
      <w:r>
        <w:rPr>
          <w:rFonts w:ascii="Times New Roman" w:hAnsi="Times New Roman"/>
          <w:sz w:val="24"/>
        </w:rPr>
        <w:tab/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Wyboru przedstawicieli organizacji pozarządowych do Komisji konkursowej, o której mowa w ust. 1, dokona Burmistrz, spośród kandydatur wskazanych przez te organizacje w wyniku naboru ogłoszonego przez Burmistrza. W pracach Komisji nie mogą uczestniczyć osoby wskazane przez organizacje pozarządowe biorące udział w konkursie.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Przewodniczący Komisji, wskazany przez Burmistrza spośród jego przedstawicieli, z własnej inicjatywy lub na wniosek członków Komisji może zaprosić specjalistę/specjalistów w dziedzinie obejmującej zakres zadania publicznego, którego dotyczy konkurs, z głosem doradczym.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Komisja obraduje na posiedzeniach zamkniętych, bez udziału oferentów.</w:t>
      </w:r>
    </w:p>
    <w:p>
      <w:pPr>
        <w:pStyle w:val="style28"/>
        <w:numPr>
          <w:ilvl w:val="0"/>
          <w:numId w:val="2"/>
        </w:numPr>
        <w:ind w:hanging="425" w:left="1276" w:right="0"/>
      </w:pPr>
      <w:r>
        <w:rPr>
          <w:rFonts w:ascii="Times New Roman" w:hAnsi="Times New Roman"/>
          <w:sz w:val="24"/>
        </w:rPr>
        <w:t>Posiedzenie Komisji zwołuje i prowadzi przewodniczący, a w przypadku jego nieobecności wyznaczony przez przewodniczącego członek Komisji.</w:t>
      </w:r>
    </w:p>
    <w:p>
      <w:pPr>
        <w:pStyle w:val="style28"/>
        <w:numPr>
          <w:ilvl w:val="0"/>
          <w:numId w:val="2"/>
        </w:numPr>
        <w:ind w:hanging="425" w:left="1276" w:right="0"/>
      </w:pPr>
      <w:r>
        <w:rPr>
          <w:rFonts w:ascii="Times New Roman" w:hAnsi="Times New Roman"/>
          <w:sz w:val="24"/>
        </w:rPr>
        <w:t>W trakcie obrad Komisji niezbędna jest obecność co najmniej 50% składu jej członków.</w:t>
      </w:r>
    </w:p>
    <w:p>
      <w:pPr>
        <w:pStyle w:val="style28"/>
        <w:numPr>
          <w:ilvl w:val="0"/>
          <w:numId w:val="2"/>
        </w:numPr>
        <w:ind w:hanging="425" w:left="1276" w:right="0"/>
      </w:pPr>
      <w:r>
        <w:rPr>
          <w:rFonts w:ascii="Times New Roman" w:hAnsi="Times New Roman"/>
          <w:sz w:val="24"/>
        </w:rPr>
        <w:t>W posiedzeniu Komisji mogą brać udział osoby nienależące do jej składu, wykonujące czynności związane z obsługą administracyjną Komisji.</w:t>
      </w:r>
    </w:p>
    <w:p>
      <w:pPr>
        <w:pStyle w:val="style28"/>
        <w:numPr>
          <w:ilvl w:val="0"/>
          <w:numId w:val="2"/>
        </w:numPr>
        <w:ind w:hanging="425" w:left="1276" w:right="0"/>
      </w:pPr>
      <w:r>
        <w:rPr>
          <w:rFonts w:ascii="Times New Roman" w:hAnsi="Times New Roman"/>
          <w:sz w:val="24"/>
        </w:rPr>
        <w:t>Członkowie Komisji przed pierwszym posiedzeniem, po zapoznaniu się z wykazem złożonych ofert, składają oświadczenie, którego wzór określa załącznik nr 1 do Regulaminu.</w:t>
      </w:r>
    </w:p>
    <w:p>
      <w:pPr>
        <w:pStyle w:val="style28"/>
        <w:numPr>
          <w:ilvl w:val="0"/>
          <w:numId w:val="1"/>
        </w:numPr>
        <w:ind w:hanging="284" w:left="851" w:right="0"/>
      </w:pPr>
      <w:r>
        <w:rPr>
          <w:rFonts w:ascii="Times New Roman" w:hAnsi="Times New Roman"/>
          <w:sz w:val="24"/>
        </w:rPr>
        <w:t xml:space="preserve">Członkowie Komisji w pierwszej kolejności sprawdzają, czy złożone oferty spełniają wymogi formalne określone w ogłoszeniu, zgodnie z kartą oceny formalnej (załącznik Nr 2 do Regulaminu). </w:t>
      </w:r>
    </w:p>
    <w:p>
      <w:pPr>
        <w:pStyle w:val="style28"/>
        <w:numPr>
          <w:ilvl w:val="0"/>
          <w:numId w:val="1"/>
        </w:numPr>
        <w:ind w:hanging="284" w:left="851" w:right="0"/>
      </w:pPr>
      <w:r>
        <w:rPr>
          <w:rFonts w:ascii="Times New Roman" w:hAnsi="Times New Roman"/>
          <w:sz w:val="24"/>
        </w:rPr>
        <w:t>Oferty nie spełniające wymogu formalnego są odrzucane. W przypadkach wymienionych w karcie oceny formalnej oferty, może ona zostać uzupełniona w ciągu 5 dni od dnia powiadomienia oferenta.</w:t>
      </w:r>
    </w:p>
    <w:p>
      <w:pPr>
        <w:pStyle w:val="style28"/>
        <w:numPr>
          <w:ilvl w:val="0"/>
          <w:numId w:val="1"/>
        </w:numPr>
        <w:ind w:hanging="284" w:left="851" w:right="0"/>
      </w:pPr>
      <w:r>
        <w:rPr>
          <w:rFonts w:ascii="Times New Roman" w:hAnsi="Times New Roman"/>
          <w:sz w:val="24"/>
        </w:rPr>
        <w:t xml:space="preserve">Kartę oceny formalnej oferty, o której mowa w ust. 5 podpisują wszyscy członkowie Komisji. 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Oceny merytorycznej ofert dokonuje każdy z członków komisji, wypełniając kartę oceny merytorycznej, która stanowi załącznik Nr 3 do Regulaminu.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Ocena łączna danej oferty wystawiona przez członka Komisji jest sumą wystawionych ocen cząstkowych.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Ocena końcowa danej oferty jest średnią, obliczoną z dokładnością do pierwszego miejsca po przecinku, z ocen łącznych wystawionych przez osoby oceniające tą ofertę.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 xml:space="preserve">Podstawę do przyznania dotacji stanowi warunek uzyskania oceny końcowej powyżej </w:t>
      </w:r>
      <w:r>
        <w:rPr>
          <w:rFonts w:ascii="Times New Roman" w:hAnsi="Times New Roman"/>
          <w:b/>
          <w:sz w:val="24"/>
        </w:rPr>
        <w:t>11,00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punktów.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 prac Komisji sporządza się protokół, który podpisuje Przewodniczący</w:t>
        <w:br/>
        <w:t xml:space="preserve"> i wszyscy członkowie Komisji obecni na posiedzeniu/posiedzeniach.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Wyniki konkursu są zatwierdzane przez Burmistrza.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 xml:space="preserve">Wyniki konkursu ofert, wraz z informacją o wysokości przyznanej dotacji  umieszcza się na stronie: </w:t>
      </w:r>
      <w:hyperlink r:id="rId2">
        <w:r>
          <w:rPr>
            <w:rStyle w:val="style19"/>
            <w:rFonts w:ascii="Times New Roman" w:hAnsi="Times New Roman"/>
            <w:sz w:val="24"/>
          </w:rPr>
          <w:t>www.tuchola.pl</w:t>
        </w:r>
      </w:hyperlink>
      <w:r>
        <w:rPr>
          <w:rFonts w:ascii="Times New Roman" w:hAnsi="Times New Roman"/>
          <w:sz w:val="24"/>
        </w:rPr>
        <w:t xml:space="preserve">  w zakładce „ Organizacje pozarządowe”, w  Biuletynie Informacji Publicznej na stronie: </w:t>
      </w:r>
      <w:hyperlink r:id="rId3">
        <w:r>
          <w:rPr>
            <w:rStyle w:val="style19"/>
            <w:rFonts w:ascii="Times New Roman" w:hAnsi="Times New Roman"/>
            <w:sz w:val="24"/>
          </w:rPr>
          <w:t>www.bip.tuchola.miasto.pl</w:t>
        </w:r>
      </w:hyperlink>
      <w:r>
        <w:rPr>
          <w:rFonts w:ascii="Times New Roman" w:hAnsi="Times New Roman"/>
          <w:sz w:val="24"/>
        </w:rPr>
        <w:t xml:space="preserve"> w zakładce „Organizacje pozarządowe” oraz na tablicy ogłoszeń Urzędu Miejskiego w Tucholi.</w:t>
      </w:r>
    </w:p>
    <w:p>
      <w:pPr>
        <w:pStyle w:val="style28"/>
        <w:numPr>
          <w:ilvl w:val="0"/>
          <w:numId w:val="1"/>
        </w:numPr>
      </w:pPr>
      <w:r>
        <w:rPr>
          <w:rFonts w:ascii="Times New Roman" w:hAnsi="Times New Roman"/>
          <w:sz w:val="24"/>
        </w:rPr>
        <w:t>Warunki oraz terminy realizacji zadań, finansowanie i rozliczanie będą regulować umowy zawarte pomiędzy Gminą Tuchola a wybranymi oferentami.</w:t>
      </w:r>
    </w:p>
    <w:p>
      <w:pPr>
        <w:pStyle w:val="style28"/>
        <w:ind w:firstLine="567" w:left="283" w:right="0"/>
      </w:pPr>
      <w:r>
        <w:rPr>
          <w:rFonts w:ascii="Times New Roman" w:hAnsi="Times New Roman"/>
          <w:sz w:val="24"/>
        </w:rPr>
      </w:r>
    </w:p>
    <w:p>
      <w:pPr>
        <w:pStyle w:val="style28"/>
        <w:ind w:firstLine="567" w:left="283" w:right="0"/>
      </w:pPr>
      <w:r>
        <w:rPr>
          <w:rFonts w:ascii="Times New Roman" w:hAnsi="Times New Roman"/>
          <w:sz w:val="24"/>
        </w:rPr>
      </w:r>
    </w:p>
    <w:p>
      <w:pPr>
        <w:pStyle w:val="style0"/>
      </w:pPr>
      <w:r>
        <w:rPr/>
      </w:r>
    </w:p>
    <w:sectPr>
      <w:type w:val="nextPage"/>
      <w:pgSz w:h="16838" w:w="11906"/>
      <w:pgMar w:bottom="1417" w:footer="0" w:gutter="0" w:header="0" w:left="1417" w:right="1417" w:top="708"/>
      <w:pgNumType w:fmt="decimal"/>
      <w:formProt w:val="false"/>
      <w:titlePg/>
      <w:textDirection w:val="lrTb"/>
      <w:docGrid w:charSpace="-6145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."/>
      <w:lvlJc w:val="left"/>
      <w:pPr>
        <w:ind w:hanging="360" w:left="888"/>
      </w:pPr>
    </w:lvl>
    <w:lvl w:ilvl="1">
      <w:start w:val="1"/>
      <w:numFmt w:val="lowerLetter"/>
      <w:lvlText w:val="%2."/>
      <w:lvlJc w:val="left"/>
      <w:pPr>
        <w:ind w:hanging="360" w:left="1608"/>
      </w:pPr>
    </w:lvl>
    <w:lvl w:ilvl="2">
      <w:start w:val="1"/>
      <w:numFmt w:val="lowerRoman"/>
      <w:lvlText w:val="%2.%3."/>
      <w:lvlJc w:val="right"/>
      <w:pPr>
        <w:ind w:hanging="180" w:left="2328"/>
      </w:pPr>
    </w:lvl>
    <w:lvl w:ilvl="3">
      <w:start w:val="1"/>
      <w:numFmt w:val="decimal"/>
      <w:lvlText w:val="%2.%3.%4."/>
      <w:lvlJc w:val="left"/>
      <w:pPr>
        <w:ind w:hanging="360" w:left="3048"/>
      </w:pPr>
    </w:lvl>
    <w:lvl w:ilvl="4">
      <w:start w:val="1"/>
      <w:numFmt w:val="lowerLetter"/>
      <w:lvlText w:val="%2.%3.%4.%5."/>
      <w:lvlJc w:val="left"/>
      <w:pPr>
        <w:ind w:hanging="360" w:left="3768"/>
      </w:pPr>
    </w:lvl>
    <w:lvl w:ilvl="5">
      <w:start w:val="1"/>
      <w:numFmt w:val="lowerRoman"/>
      <w:lvlText w:val="%2.%3.%4.%5.%6."/>
      <w:lvlJc w:val="right"/>
      <w:pPr>
        <w:ind w:hanging="180" w:left="4488"/>
      </w:pPr>
    </w:lvl>
    <w:lvl w:ilvl="6">
      <w:start w:val="1"/>
      <w:numFmt w:val="decimal"/>
      <w:lvlText w:val="%2.%3.%4.%5.%6.%7."/>
      <w:lvlJc w:val="left"/>
      <w:pPr>
        <w:ind w:hanging="360" w:left="5208"/>
      </w:pPr>
    </w:lvl>
    <w:lvl w:ilvl="7">
      <w:start w:val="1"/>
      <w:numFmt w:val="lowerLetter"/>
      <w:lvlText w:val="%2.%3.%4.%5.%6.%7.%8."/>
      <w:lvlJc w:val="left"/>
      <w:pPr>
        <w:ind w:hanging="360" w:left="5928"/>
      </w:pPr>
    </w:lvl>
    <w:lvl w:ilvl="8">
      <w:start w:val="1"/>
      <w:numFmt w:val="lowerRoman"/>
      <w:lvlText w:val="%2.%3.%4.%5.%6.%7.%8.%9."/>
      <w:lvlJc w:val="right"/>
      <w:pPr>
        <w:ind w:hanging="180" w:left="6648"/>
      </w:pPr>
    </w:lvl>
  </w:abstractNum>
  <w:abstractNum w:abstractNumId="2">
    <w:lvl w:ilvl="0">
      <w:start w:val="1"/>
      <w:numFmt w:val="lowerLetter"/>
      <w:lvlText w:val="%1)"/>
      <w:lvlJc w:val="left"/>
      <w:pPr>
        <w:ind w:hanging="360" w:left="888"/>
      </w:pPr>
    </w:lvl>
    <w:lvl w:ilvl="1">
      <w:start w:val="1"/>
      <w:numFmt w:val="lowerLetter"/>
      <w:lvlText w:val="%2."/>
      <w:lvlJc w:val="left"/>
      <w:pPr>
        <w:ind w:hanging="360" w:left="1608"/>
      </w:pPr>
    </w:lvl>
    <w:lvl w:ilvl="2">
      <w:start w:val="1"/>
      <w:numFmt w:val="lowerRoman"/>
      <w:lvlText w:val="%2.%3."/>
      <w:lvlJc w:val="right"/>
      <w:pPr>
        <w:ind w:hanging="180" w:left="2328"/>
      </w:pPr>
    </w:lvl>
    <w:lvl w:ilvl="3">
      <w:start w:val="1"/>
      <w:numFmt w:val="decimal"/>
      <w:lvlText w:val="%2.%3.%4."/>
      <w:lvlJc w:val="left"/>
      <w:pPr>
        <w:ind w:hanging="360" w:left="3048"/>
      </w:pPr>
    </w:lvl>
    <w:lvl w:ilvl="4">
      <w:start w:val="1"/>
      <w:numFmt w:val="lowerLetter"/>
      <w:lvlText w:val="%2.%3.%4.%5."/>
      <w:lvlJc w:val="left"/>
      <w:pPr>
        <w:ind w:hanging="360" w:left="3768"/>
      </w:pPr>
    </w:lvl>
    <w:lvl w:ilvl="5">
      <w:start w:val="1"/>
      <w:numFmt w:val="lowerRoman"/>
      <w:lvlText w:val="%2.%3.%4.%5.%6."/>
      <w:lvlJc w:val="right"/>
      <w:pPr>
        <w:ind w:hanging="180" w:left="4488"/>
      </w:pPr>
    </w:lvl>
    <w:lvl w:ilvl="6">
      <w:start w:val="1"/>
      <w:numFmt w:val="decimal"/>
      <w:lvlText w:val="%2.%3.%4.%5.%6.%7."/>
      <w:lvlJc w:val="left"/>
      <w:pPr>
        <w:ind w:hanging="360" w:left="5208"/>
      </w:pPr>
    </w:lvl>
    <w:lvl w:ilvl="7">
      <w:start w:val="1"/>
      <w:numFmt w:val="lowerLetter"/>
      <w:lvlText w:val="%2.%3.%4.%5.%6.%7.%8."/>
      <w:lvlJc w:val="left"/>
      <w:pPr>
        <w:ind w:hanging="360" w:left="5928"/>
      </w:pPr>
    </w:lvl>
    <w:lvl w:ilvl="8">
      <w:start w:val="1"/>
      <w:numFmt w:val="lowerRoman"/>
      <w:lvlText w:val="%2.%3.%4.%5.%6.%7.%8.%9."/>
      <w:lvlJc w:val="right"/>
      <w:pPr>
        <w:ind w:hanging="180" w:left="6648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Times New Roman" w:cs="Times New Roman" w:eastAsia="Times New Roman" w:hAnsi="Times New Roman"/>
      <w:color w:val="auto"/>
      <w:sz w:val="24"/>
      <w:szCs w:val="24"/>
      <w:lang w:bidi="ar-SA" w:eastAsia="pl-PL" w:val="pl-PL"/>
    </w:rPr>
  </w:style>
  <w:style w:styleId="style15" w:type="character">
    <w:name w:val="Default Paragraph Font"/>
    <w:next w:val="style15"/>
    <w:rPr/>
  </w:style>
  <w:style w:styleId="style16" w:type="character">
    <w:name w:val="Tekst podstawowy wcięty Znak"/>
    <w:basedOn w:val="style15"/>
    <w:next w:val="style16"/>
    <w:rPr>
      <w:rFonts w:ascii="Arial Narrow" w:cs="Times New Roman" w:eastAsia="Times New Roman" w:hAnsi="Arial Narrow"/>
      <w:sz w:val="28"/>
      <w:szCs w:val="24"/>
      <w:u w:val="none"/>
      <w:lang w:eastAsia="pl-PL"/>
    </w:rPr>
  </w:style>
  <w:style w:styleId="style17" w:type="character">
    <w:name w:val="Nagłówek Znak"/>
    <w:basedOn w:val="style15"/>
    <w:next w:val="style17"/>
    <w:rPr>
      <w:rFonts w:ascii="Times New Roman" w:cs="Times New Roman" w:eastAsia="Times New Roman" w:hAnsi="Times New Roman"/>
      <w:sz w:val="24"/>
      <w:szCs w:val="24"/>
      <w:lang w:eastAsia="pl-PL"/>
    </w:rPr>
  </w:style>
  <w:style w:styleId="style18" w:type="character">
    <w:name w:val="page number"/>
    <w:basedOn w:val="style15"/>
    <w:next w:val="style18"/>
    <w:rPr/>
  </w:style>
  <w:style w:styleId="style19" w:type="character">
    <w:name w:val="Łącze internetowe"/>
    <w:basedOn w:val="style15"/>
    <w:next w:val="style19"/>
    <w:rPr>
      <w:color w:val="0000FF"/>
      <w:u w:val="single"/>
      <w:lang w:bidi="pl-PL" w:eastAsia="pl-PL" w:val="pl-PL"/>
    </w:rPr>
  </w:style>
  <w:style w:styleId="style20" w:type="character">
    <w:name w:val="Stopka Znak"/>
    <w:basedOn w:val="style15"/>
    <w:next w:val="style20"/>
    <w:rPr>
      <w:rFonts w:ascii="Times New Roman" w:cs="Times New Roman" w:eastAsia="Times New Roman" w:hAnsi="Times New Roman"/>
      <w:sz w:val="24"/>
      <w:szCs w:val="24"/>
      <w:lang w:eastAsia="pl-PL"/>
    </w:rPr>
  </w:style>
  <w:style w:styleId="style21" w:type="character">
    <w:name w:val="Tekst dymka Znak"/>
    <w:basedOn w:val="style15"/>
    <w:next w:val="style21"/>
    <w:rPr>
      <w:rFonts w:ascii="Segoe UI" w:cs="Segoe UI" w:eastAsia="Times New Roman" w:hAnsi="Segoe UI"/>
      <w:sz w:val="18"/>
      <w:szCs w:val="18"/>
      <w:lang w:eastAsia="pl-PL"/>
    </w:rPr>
  </w:style>
  <w:style w:styleId="style22" w:type="character">
    <w:name w:val="ListLabel 1"/>
    <w:next w:val="style22"/>
    <w:rPr>
      <w:rFonts w:cs="Courier New"/>
    </w:rPr>
  </w:style>
  <w:style w:styleId="style23" w:type="paragraph">
    <w:name w:val="Nagłówek"/>
    <w:basedOn w:val="style0"/>
    <w:next w:val="style24"/>
    <w:pPr>
      <w:keepNext/>
      <w:tabs>
        <w:tab w:leader="none" w:pos="4536" w:val="center"/>
        <w:tab w:leader="none" w:pos="9072" w:val="right"/>
      </w:tabs>
      <w:spacing w:after="120" w:before="240"/>
    </w:pPr>
    <w:rPr>
      <w:rFonts w:ascii="Arial" w:cs="Mangal" w:eastAsia="Microsoft YaHei" w:hAnsi="Arial"/>
      <w:sz w:val="28"/>
      <w:szCs w:val="28"/>
    </w:rPr>
  </w:style>
  <w:style w:styleId="style24" w:type="paragraph">
    <w:name w:val="Treść tekstu"/>
    <w:basedOn w:val="style0"/>
    <w:next w:val="style24"/>
    <w:pPr>
      <w:spacing w:after="120" w:before="0"/>
    </w:pPr>
    <w:rPr/>
  </w:style>
  <w:style w:styleId="style25" w:type="paragraph">
    <w:name w:val="Lista"/>
    <w:basedOn w:val="style24"/>
    <w:next w:val="style25"/>
    <w:pPr/>
    <w:rPr>
      <w:rFonts w:cs="Mangal"/>
    </w:rPr>
  </w:style>
  <w:style w:styleId="style26" w:type="paragraph">
    <w:name w:val="Podpis"/>
    <w:basedOn w:val="style0"/>
    <w:next w:val="style26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7" w:type="paragraph">
    <w:name w:val="Indeks"/>
    <w:basedOn w:val="style0"/>
    <w:next w:val="style27"/>
    <w:pPr>
      <w:suppressLineNumbers/>
    </w:pPr>
    <w:rPr>
      <w:rFonts w:cs="Mangal"/>
    </w:rPr>
  </w:style>
  <w:style w:styleId="style28" w:type="paragraph">
    <w:name w:val="Wcięcie tekstu"/>
    <w:basedOn w:val="style0"/>
    <w:next w:val="style28"/>
    <w:pPr>
      <w:ind w:firstLine="708" w:left="283" w:right="0"/>
      <w:jc w:val="both"/>
    </w:pPr>
    <w:rPr>
      <w:rFonts w:ascii="Arial Narrow" w:hAnsi="Arial Narrow"/>
      <w:sz w:val="28"/>
      <w:u w:val="none"/>
    </w:rPr>
  </w:style>
  <w:style w:styleId="style29" w:type="paragraph">
    <w:name w:val="Stopka"/>
    <w:basedOn w:val="style0"/>
    <w:next w:val="style29"/>
    <w:pPr>
      <w:suppressLineNumbers/>
      <w:tabs>
        <w:tab w:leader="none" w:pos="4536" w:val="center"/>
        <w:tab w:leader="none" w:pos="9072" w:val="right"/>
      </w:tabs>
    </w:pPr>
    <w:rPr/>
  </w:style>
  <w:style w:styleId="style30" w:type="paragraph">
    <w:name w:val="Balloon Text"/>
    <w:basedOn w:val="style0"/>
    <w:next w:val="style30"/>
    <w:pPr/>
    <w:rPr>
      <w:rFonts w:ascii="Segoe UI" w:cs="Segoe UI" w:hAnsi="Segoe UI"/>
      <w:sz w:val="18"/>
      <w:szCs w:val="18"/>
    </w:rPr>
  </w:style>
  <w:style w:styleId="style31" w:type="paragraph">
    <w:name w:val="Nagłówek"/>
    <w:basedOn w:val="style0"/>
    <w:next w:val="style31"/>
    <w:pPr>
      <w:suppressLineNumbers/>
      <w:tabs>
        <w:tab w:leader="none" w:pos="4819" w:val="center"/>
        <w:tab w:leader="none" w:pos="9638" w:val="right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uchola.pl/" TargetMode="External"/><Relationship Id="rId3" Type="http://schemas.openxmlformats.org/officeDocument/2006/relationships/hyperlink" Target="http://www.bip.tuchola.miasto.pl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2010-09-06T08:37:00.00Z</dcterms:created>
  <dc:creator>magadzia</dc:creator>
  <cp:lastModifiedBy>Gmina Tuchola</cp:lastModifiedBy>
  <cp:lastPrinted>2015-11-20T06:39:00.00Z</cp:lastPrinted>
  <dcterms:modified xsi:type="dcterms:W3CDTF">2015-11-20T06:39:00.00Z</dcterms:modified>
  <cp:revision>99</cp:revision>
</cp:coreProperties>
</file>